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375B" w14:textId="77777777" w:rsidR="008442B0" w:rsidRDefault="006C387A">
      <w:pPr>
        <w:pStyle w:val="Body"/>
        <w:tabs>
          <w:tab w:val="left" w:pos="360"/>
        </w:tabs>
        <w:rPr>
          <w:rFonts w:ascii="Times New Roman" w:eastAsia="Times New Roman" w:hAnsi="Times New Roman" w:cs="Times New Roman"/>
          <w:sz w:val="24"/>
          <w:szCs w:val="24"/>
        </w:rPr>
      </w:pPr>
      <w:r>
        <w:rPr>
          <w:noProof/>
        </w:rPr>
        <w:drawing>
          <wp:anchor distT="0" distB="0" distL="0" distR="0" simplePos="0" relativeHeight="251661312" behindDoc="0" locked="0" layoutInCell="1" allowOverlap="1" wp14:anchorId="3CE91B2F" wp14:editId="55C4AAD9">
            <wp:simplePos x="0" y="0"/>
            <wp:positionH relativeFrom="column">
              <wp:posOffset>-16329</wp:posOffset>
            </wp:positionH>
            <wp:positionV relativeFrom="line">
              <wp:posOffset>89806</wp:posOffset>
            </wp:positionV>
            <wp:extent cx="3794125" cy="665209"/>
            <wp:effectExtent l="0" t="0" r="0" b="0"/>
            <wp:wrapNone/>
            <wp:docPr id="1073741825" name="officeArt object" descr="BBS-Letterhead-06"/>
            <wp:cNvGraphicFramePr/>
            <a:graphic xmlns:a="http://schemas.openxmlformats.org/drawingml/2006/main">
              <a:graphicData uri="http://schemas.openxmlformats.org/drawingml/2006/picture">
                <pic:pic xmlns:pic="http://schemas.openxmlformats.org/drawingml/2006/picture">
                  <pic:nvPicPr>
                    <pic:cNvPr id="1073741825" name="BBS-Letterhead-06" descr="BBS-Letterhead-06"/>
                    <pic:cNvPicPr>
                      <a:picLocks noChangeAspect="1"/>
                    </pic:cNvPicPr>
                  </pic:nvPicPr>
                  <pic:blipFill>
                    <a:blip r:embed="rId8"/>
                    <a:srcRect t="8872" b="25419"/>
                    <a:stretch>
                      <a:fillRect/>
                    </a:stretch>
                  </pic:blipFill>
                  <pic:spPr>
                    <a:xfrm>
                      <a:off x="0" y="0"/>
                      <a:ext cx="3794125" cy="665209"/>
                    </a:xfrm>
                    <a:prstGeom prst="rect">
                      <a:avLst/>
                    </a:prstGeom>
                    <a:ln w="12700" cap="flat">
                      <a:noFill/>
                      <a:miter lim="400000"/>
                    </a:ln>
                    <a:effectLst/>
                  </pic:spPr>
                </pic:pic>
              </a:graphicData>
            </a:graphic>
          </wp:anchor>
        </w:drawing>
      </w:r>
      <w:r>
        <w:rPr>
          <w:rFonts w:ascii="Times New Roman" w:hAnsi="Times New Roman"/>
          <w:noProof/>
          <w:sz w:val="24"/>
          <w:szCs w:val="24"/>
        </w:rPr>
        <mc:AlternateContent>
          <mc:Choice Requires="wps">
            <w:drawing>
              <wp:anchor distT="57150" distB="57150" distL="57150" distR="57150" simplePos="0" relativeHeight="251663360" behindDoc="0" locked="0" layoutInCell="1" allowOverlap="1" wp14:anchorId="74DB1953" wp14:editId="146784D5">
                <wp:simplePos x="0" y="0"/>
                <wp:positionH relativeFrom="column">
                  <wp:posOffset>4110354</wp:posOffset>
                </wp:positionH>
                <wp:positionV relativeFrom="line">
                  <wp:posOffset>116840</wp:posOffset>
                </wp:positionV>
                <wp:extent cx="2570481" cy="914400"/>
                <wp:effectExtent l="0" t="0" r="0" b="0"/>
                <wp:wrapThrough wrapText="bothSides" distL="57150" distR="57150">
                  <wp:wrapPolygon edited="1">
                    <wp:start x="0" y="0"/>
                    <wp:lineTo x="21600" y="0"/>
                    <wp:lineTo x="21600" y="21600"/>
                    <wp:lineTo x="0" y="21600"/>
                    <wp:lineTo x="0" y="0"/>
                  </wp:wrapPolygon>
                </wp:wrapThrough>
                <wp:docPr id="1073741826" name="officeArt object" descr="Text Box 17"/>
                <wp:cNvGraphicFramePr/>
                <a:graphic xmlns:a="http://schemas.openxmlformats.org/drawingml/2006/main">
                  <a:graphicData uri="http://schemas.microsoft.com/office/word/2010/wordprocessingShape">
                    <wps:wsp>
                      <wps:cNvSpPr txBox="1"/>
                      <wps:spPr>
                        <a:xfrm>
                          <a:off x="0" y="0"/>
                          <a:ext cx="2570481" cy="914400"/>
                        </a:xfrm>
                        <a:prstGeom prst="rect">
                          <a:avLst/>
                        </a:prstGeom>
                        <a:noFill/>
                        <a:ln w="12700" cap="flat">
                          <a:noFill/>
                          <a:miter lim="400000"/>
                        </a:ln>
                        <a:effectLst/>
                      </wps:spPr>
                      <wps:txbx>
                        <w:txbxContent>
                          <w:p w14:paraId="69832163" w14:textId="77777777" w:rsidR="008442B0" w:rsidRDefault="006C387A">
                            <w:pPr>
                              <w:pStyle w:val="Body"/>
                              <w:jc w:val="right"/>
                              <w:rPr>
                                <w:rFonts w:ascii="Calibri" w:eastAsia="Calibri" w:hAnsi="Calibri" w:cs="Calibri"/>
                                <w:sz w:val="18"/>
                                <w:szCs w:val="18"/>
                              </w:rPr>
                            </w:pPr>
                            <w:r>
                              <w:rPr>
                                <w:rFonts w:ascii="Calibri" w:hAnsi="Calibri"/>
                                <w:sz w:val="18"/>
                                <w:szCs w:val="18"/>
                              </w:rPr>
                              <w:t>Gordon Hall 005, 25 Shattuck Street</w:t>
                            </w:r>
                          </w:p>
                          <w:p w14:paraId="66A4BFD5" w14:textId="77777777" w:rsidR="008442B0" w:rsidRDefault="006C387A">
                            <w:pPr>
                              <w:pStyle w:val="Body"/>
                              <w:jc w:val="right"/>
                              <w:rPr>
                                <w:rFonts w:ascii="Calibri" w:eastAsia="Calibri" w:hAnsi="Calibri" w:cs="Calibri"/>
                                <w:sz w:val="18"/>
                                <w:szCs w:val="18"/>
                              </w:rPr>
                            </w:pPr>
                            <w:r>
                              <w:rPr>
                                <w:rFonts w:ascii="Calibri" w:hAnsi="Calibri"/>
                                <w:sz w:val="18"/>
                                <w:szCs w:val="18"/>
                              </w:rPr>
                              <w:t>Boston, MA 02115-6027</w:t>
                            </w:r>
                          </w:p>
                          <w:p w14:paraId="59604BA8" w14:textId="77777777" w:rsidR="008442B0" w:rsidRDefault="006C387A">
                            <w:pPr>
                              <w:pStyle w:val="Body"/>
                              <w:jc w:val="right"/>
                              <w:rPr>
                                <w:rFonts w:ascii="Calibri" w:eastAsia="Calibri" w:hAnsi="Calibri" w:cs="Calibri"/>
                                <w:sz w:val="18"/>
                                <w:szCs w:val="18"/>
                              </w:rPr>
                            </w:pPr>
                            <w:r>
                              <w:rPr>
                                <w:rFonts w:ascii="Calibri" w:hAnsi="Calibri"/>
                                <w:sz w:val="18"/>
                                <w:szCs w:val="18"/>
                              </w:rPr>
                              <w:t>Tel</w:t>
                            </w:r>
                            <w:r>
                              <w:rPr>
                                <w:rFonts w:ascii="Calibri" w:hAnsi="Calibri"/>
                                <w:sz w:val="18"/>
                                <w:szCs w:val="18"/>
                              </w:rPr>
                              <w:tab/>
                              <w:t>617-432-0884</w:t>
                            </w:r>
                          </w:p>
                          <w:p w14:paraId="5E4360D8" w14:textId="77777777" w:rsidR="008442B0" w:rsidRDefault="006C387A">
                            <w:pPr>
                              <w:pStyle w:val="Body"/>
                              <w:jc w:val="right"/>
                              <w:rPr>
                                <w:rFonts w:ascii="Calibri" w:eastAsia="Calibri" w:hAnsi="Calibri" w:cs="Calibri"/>
                                <w:sz w:val="18"/>
                                <w:szCs w:val="18"/>
                              </w:rPr>
                            </w:pPr>
                            <w:r>
                              <w:rPr>
                                <w:rFonts w:ascii="Calibri" w:hAnsi="Calibri"/>
                                <w:sz w:val="18"/>
                                <w:szCs w:val="18"/>
                              </w:rPr>
                              <w:t>Tel</w:t>
                            </w:r>
                            <w:r>
                              <w:rPr>
                                <w:rFonts w:ascii="Calibri" w:hAnsi="Calibri"/>
                                <w:sz w:val="18"/>
                                <w:szCs w:val="18"/>
                              </w:rPr>
                              <w:tab/>
                              <w:t>617-432-2737</w:t>
                            </w:r>
                          </w:p>
                          <w:p w14:paraId="59E71F20" w14:textId="77777777" w:rsidR="008442B0" w:rsidRDefault="006C387A">
                            <w:pPr>
                              <w:pStyle w:val="Body"/>
                              <w:jc w:val="right"/>
                            </w:pPr>
                            <w:r>
                              <w:rPr>
                                <w:rFonts w:ascii="Calibri" w:hAnsi="Calibri"/>
                                <w:sz w:val="18"/>
                                <w:szCs w:val="18"/>
                              </w:rPr>
                              <w:t xml:space="preserve">FAX </w:t>
                            </w:r>
                            <w:r>
                              <w:rPr>
                                <w:rFonts w:ascii="Calibri" w:hAnsi="Calibri"/>
                                <w:sz w:val="18"/>
                                <w:szCs w:val="18"/>
                              </w:rPr>
                              <w:tab/>
                              <w:t>617-432-0179</w:t>
                            </w:r>
                          </w:p>
                        </w:txbxContent>
                      </wps:txbx>
                      <wps:bodyPr wrap="square" lIns="91439" tIns="91439" rIns="91439" bIns="91439" numCol="1" anchor="t">
                        <a:noAutofit/>
                      </wps:bodyPr>
                    </wps:wsp>
                  </a:graphicData>
                </a:graphic>
              </wp:anchor>
            </w:drawing>
          </mc:Choice>
          <mc:Fallback>
            <w:pict>
              <v:shapetype w14:anchorId="74DB1953" id="_x0000_t202" coordsize="21600,21600" o:spt="202" path="m,l,21600r21600,l21600,xe">
                <v:stroke joinstyle="miter"/>
                <v:path gradientshapeok="t" o:connecttype="rect"/>
              </v:shapetype>
              <v:shape id="officeArt object" o:spid="_x0000_s1026" type="#_x0000_t202" alt="Text Box 17" style="position:absolute;margin-left:323.65pt;margin-top:9.2pt;width:202.4pt;height:1in;z-index:251663360;visibility:visible;mso-wrap-style:square;mso-wrap-distance-left:4.5pt;mso-wrap-distance-top:4.5pt;mso-wrap-distance-right:4.5pt;mso-wrap-distance-bottom:4.5pt;mso-position-horizontal:absolute;mso-position-horizontal-relative:text;mso-position-vertical:absolute;mso-position-vertical-relative:line;v-text-anchor:top" wrapcoords="-5 0 21595 0 21595 21600 -5 21600 -5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" filled="f" stroked="f" strokeweight="1pt">
                <v:stroke miterlimit="4"/>
                <v:textbox inset="2.53997mm,2.53997mm,2.53997mm,2.53997mm">
                  <w:txbxContent>
                    <w:p w14:paraId="69832163" w14:textId="77777777" w:rsidR="008442B0" w:rsidRDefault="006C387A">
                      <w:pPr>
                        <w:pStyle w:val="Body"/>
                        <w:jc w:val="right"/>
                        <w:rPr>
                          <w:rFonts w:ascii="Calibri" w:eastAsia="Calibri" w:hAnsi="Calibri" w:cs="Calibri"/>
                          <w:sz w:val="18"/>
                          <w:szCs w:val="18"/>
                        </w:rPr>
                      </w:pPr>
                      <w:r>
                        <w:rPr>
                          <w:rFonts w:ascii="Calibri" w:hAnsi="Calibri"/>
                          <w:sz w:val="18"/>
                          <w:szCs w:val="18"/>
                        </w:rPr>
                        <w:t>Gordon Hall 005, 25 Shattuck Street</w:t>
                      </w:r>
                    </w:p>
                    <w:p w14:paraId="66A4BFD5" w14:textId="77777777" w:rsidR="008442B0" w:rsidRDefault="006C387A">
                      <w:pPr>
                        <w:pStyle w:val="Body"/>
                        <w:jc w:val="right"/>
                        <w:rPr>
                          <w:rFonts w:ascii="Calibri" w:eastAsia="Calibri" w:hAnsi="Calibri" w:cs="Calibri"/>
                          <w:sz w:val="18"/>
                          <w:szCs w:val="18"/>
                        </w:rPr>
                      </w:pPr>
                      <w:r>
                        <w:rPr>
                          <w:rFonts w:ascii="Calibri" w:hAnsi="Calibri"/>
                          <w:sz w:val="18"/>
                          <w:szCs w:val="18"/>
                        </w:rPr>
                        <w:t>Boston, MA 02115-6027</w:t>
                      </w:r>
                    </w:p>
                    <w:p w14:paraId="59604BA8" w14:textId="77777777" w:rsidR="008442B0" w:rsidRDefault="006C387A">
                      <w:pPr>
                        <w:pStyle w:val="Body"/>
                        <w:jc w:val="right"/>
                        <w:rPr>
                          <w:rFonts w:ascii="Calibri" w:eastAsia="Calibri" w:hAnsi="Calibri" w:cs="Calibri"/>
                          <w:sz w:val="18"/>
                          <w:szCs w:val="18"/>
                        </w:rPr>
                      </w:pPr>
                      <w:r>
                        <w:rPr>
                          <w:rFonts w:ascii="Calibri" w:hAnsi="Calibri"/>
                          <w:sz w:val="18"/>
                          <w:szCs w:val="18"/>
                        </w:rPr>
                        <w:t>Tel</w:t>
                      </w:r>
                      <w:r>
                        <w:rPr>
                          <w:rFonts w:ascii="Calibri" w:hAnsi="Calibri"/>
                          <w:sz w:val="18"/>
                          <w:szCs w:val="18"/>
                        </w:rPr>
                        <w:tab/>
                        <w:t>617-432-0884</w:t>
                      </w:r>
                    </w:p>
                    <w:p w14:paraId="5E4360D8" w14:textId="77777777" w:rsidR="008442B0" w:rsidRDefault="006C387A">
                      <w:pPr>
                        <w:pStyle w:val="Body"/>
                        <w:jc w:val="right"/>
                        <w:rPr>
                          <w:rFonts w:ascii="Calibri" w:eastAsia="Calibri" w:hAnsi="Calibri" w:cs="Calibri"/>
                          <w:sz w:val="18"/>
                          <w:szCs w:val="18"/>
                        </w:rPr>
                      </w:pPr>
                      <w:r>
                        <w:rPr>
                          <w:rFonts w:ascii="Calibri" w:hAnsi="Calibri"/>
                          <w:sz w:val="18"/>
                          <w:szCs w:val="18"/>
                        </w:rPr>
                        <w:t>Tel</w:t>
                      </w:r>
                      <w:r>
                        <w:rPr>
                          <w:rFonts w:ascii="Calibri" w:hAnsi="Calibri"/>
                          <w:sz w:val="18"/>
                          <w:szCs w:val="18"/>
                        </w:rPr>
                        <w:tab/>
                        <w:t>617-432-2737</w:t>
                      </w:r>
                    </w:p>
                    <w:p w14:paraId="59E71F20" w14:textId="77777777" w:rsidR="008442B0" w:rsidRDefault="006C387A">
                      <w:pPr>
                        <w:pStyle w:val="Body"/>
                        <w:jc w:val="right"/>
                      </w:pPr>
                      <w:r>
                        <w:rPr>
                          <w:rFonts w:ascii="Calibri" w:hAnsi="Calibri"/>
                          <w:sz w:val="18"/>
                          <w:szCs w:val="18"/>
                        </w:rPr>
                        <w:t xml:space="preserve">FAX </w:t>
                      </w:r>
                      <w:r>
                        <w:rPr>
                          <w:rFonts w:ascii="Calibri" w:hAnsi="Calibri"/>
                          <w:sz w:val="18"/>
                          <w:szCs w:val="18"/>
                        </w:rPr>
                        <w:tab/>
                        <w:t>617-432-0179</w:t>
                      </w:r>
                    </w:p>
                  </w:txbxContent>
                </v:textbox>
                <w10:wrap type="through" anchory="line"/>
              </v:shape>
            </w:pict>
          </mc:Fallback>
        </mc:AlternateContent>
      </w:r>
      <w:r>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625FA6A2" wp14:editId="0A888B18">
                <wp:simplePos x="0" y="0"/>
                <wp:positionH relativeFrom="column">
                  <wp:posOffset>1209674</wp:posOffset>
                </wp:positionH>
                <wp:positionV relativeFrom="line">
                  <wp:posOffset>85725</wp:posOffset>
                </wp:positionV>
                <wp:extent cx="1" cy="632461"/>
                <wp:effectExtent l="0" t="0" r="0" b="0"/>
                <wp:wrapNone/>
                <wp:docPr id="1073741827" name="officeArt object" descr="AutoShape 12"/>
                <wp:cNvGraphicFramePr/>
                <a:graphic xmlns:a="http://schemas.openxmlformats.org/drawingml/2006/main">
                  <a:graphicData uri="http://schemas.microsoft.com/office/word/2010/wordprocessingShape">
                    <wps:wsp>
                      <wps:cNvCnPr/>
                      <wps:spPr>
                        <a:xfrm flipH="1">
                          <a:off x="0" y="0"/>
                          <a:ext cx="1" cy="632461"/>
                        </a:xfrm>
                        <a:prstGeom prst="line">
                          <a:avLst/>
                        </a:prstGeom>
                        <a:noFill/>
                        <a:ln w="19050" cap="flat">
                          <a:solidFill>
                            <a:srgbClr val="000000"/>
                          </a:solidFill>
                          <a:prstDash val="solid"/>
                          <a:round/>
                        </a:ln>
                        <a:effectLst>
                          <a:outerShdw blurRad="63500" dist="40161" dir="4293903" rotWithShape="0">
                            <a:srgbClr val="622423">
                              <a:alpha val="50000"/>
                            </a:srgbClr>
                          </a:outerShdw>
                        </a:effectLst>
                      </wps:spPr>
                      <wps:bodyPr/>
                    </wps:wsp>
                  </a:graphicData>
                </a:graphic>
              </wp:anchor>
            </w:drawing>
          </mc:Choice>
          <mc:Fallback>
            <w:pict>
              <v:line id="_x0000_s1027" style="visibility:visible;position:absolute;margin-left:95.2pt;margin-top:6.8pt;width:0.0pt;height:49.8pt;z-index:251660288;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1.5pt" dashstyle="solid" endcap="flat" joinstyle="round" linestyle="single" startarrow="none" startarrowwidth="medium" startarrowlength="medium" endarrow="none" endarrowwidth="medium" endarrowlength="medium"/>
                <v:shadow on="t" color="#622423" opacity="0.5" offset="1.0pt,3.0pt"/>
                <w10:wrap type="none" side="bothSides" anchorx="text"/>
              </v:line>
            </w:pict>
          </mc:Fallback>
        </mc:AlternateContent>
      </w:r>
      <w:r>
        <w:rPr>
          <w:noProof/>
        </w:rPr>
        <w:drawing>
          <wp:anchor distT="0" distB="0" distL="0" distR="0" simplePos="0" relativeHeight="251659264" behindDoc="0" locked="0" layoutInCell="1" allowOverlap="1" wp14:anchorId="334CBCF6" wp14:editId="21F9E769">
            <wp:simplePos x="0" y="0"/>
            <wp:positionH relativeFrom="column">
              <wp:posOffset>-20954</wp:posOffset>
            </wp:positionH>
            <wp:positionV relativeFrom="line">
              <wp:posOffset>85725</wp:posOffset>
            </wp:positionV>
            <wp:extent cx="1174750" cy="632460"/>
            <wp:effectExtent l="0" t="0" r="0" b="0"/>
            <wp:wrapNone/>
            <wp:docPr id="1073741828" name="officeArt object" descr="home_title"/>
            <wp:cNvGraphicFramePr/>
            <a:graphic xmlns:a="http://schemas.openxmlformats.org/drawingml/2006/main">
              <a:graphicData uri="http://schemas.openxmlformats.org/drawingml/2006/picture">
                <pic:pic xmlns:pic="http://schemas.openxmlformats.org/drawingml/2006/picture">
                  <pic:nvPicPr>
                    <pic:cNvPr id="1073741828" name="home_title" descr="home_title"/>
                    <pic:cNvPicPr>
                      <a:picLocks noChangeAspect="1"/>
                    </pic:cNvPicPr>
                  </pic:nvPicPr>
                  <pic:blipFill>
                    <a:blip r:embed="rId9"/>
                    <a:stretch>
                      <a:fillRect/>
                    </a:stretch>
                  </pic:blipFill>
                  <pic:spPr>
                    <a:xfrm>
                      <a:off x="0" y="0"/>
                      <a:ext cx="1174750" cy="632460"/>
                    </a:xfrm>
                    <a:prstGeom prst="rect">
                      <a:avLst/>
                    </a:prstGeom>
                    <a:ln w="12700" cap="flat">
                      <a:noFill/>
                      <a:miter lim="400000"/>
                    </a:ln>
                    <a:effectLst/>
                  </pic:spPr>
                </pic:pic>
              </a:graphicData>
            </a:graphic>
          </wp:anchor>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FF281A4" w14:textId="77777777" w:rsidR="008442B0" w:rsidRDefault="006C387A">
      <w:pPr>
        <w:pStyle w:val="Body"/>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bookmarkStart w:id="0" w:name="OLE_LINK1"/>
      <w:r>
        <w:rPr>
          <w:rFonts w:ascii="Times New Roman" w:hAnsi="Times New Roman"/>
          <w:sz w:val="24"/>
          <w:szCs w:val="24"/>
        </w:rPr>
        <w:t xml:space="preserve"> </w:t>
      </w:r>
      <w:bookmarkStart w:id="1" w:name="OLE_LINK2"/>
      <w:bookmarkEnd w:id="0"/>
      <w:r>
        <w:rPr>
          <w:rFonts w:ascii="Times New Roman" w:hAnsi="Times New Roman"/>
          <w:sz w:val="24"/>
          <w:szCs w:val="24"/>
        </w:rPr>
        <w:t xml:space="preserve">    </w:t>
      </w:r>
      <w:bookmarkEnd w:id="1"/>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564336A" w14:textId="77777777" w:rsidR="008442B0" w:rsidRDefault="008442B0">
      <w:pPr>
        <w:pStyle w:val="Body"/>
        <w:rPr>
          <w:rFonts w:ascii="Times New Roman" w:eastAsia="Times New Roman" w:hAnsi="Times New Roman" w:cs="Times New Roman"/>
          <w:sz w:val="24"/>
          <w:szCs w:val="24"/>
        </w:rPr>
      </w:pPr>
    </w:p>
    <w:p w14:paraId="5015443F" w14:textId="77777777" w:rsidR="008442B0" w:rsidRDefault="008442B0">
      <w:pPr>
        <w:pStyle w:val="Body"/>
        <w:rPr>
          <w:rFonts w:ascii="Times New Roman" w:eastAsia="Times New Roman" w:hAnsi="Times New Roman" w:cs="Times New Roman"/>
          <w:sz w:val="24"/>
          <w:szCs w:val="24"/>
        </w:rPr>
      </w:pPr>
    </w:p>
    <w:p w14:paraId="5AE7FD73" w14:textId="77777777" w:rsidR="008442B0" w:rsidRDefault="006C387A">
      <w:pPr>
        <w:pStyle w:val="Body"/>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57150" distB="57150" distL="57150" distR="57150" simplePos="0" relativeHeight="251662336" behindDoc="0" locked="0" layoutInCell="1" allowOverlap="1" wp14:anchorId="0B2F69E9" wp14:editId="34FEBD0D">
                <wp:simplePos x="0" y="0"/>
                <wp:positionH relativeFrom="column">
                  <wp:posOffset>7000240</wp:posOffset>
                </wp:positionH>
                <wp:positionV relativeFrom="line">
                  <wp:posOffset>10160</wp:posOffset>
                </wp:positionV>
                <wp:extent cx="203200" cy="45085"/>
                <wp:effectExtent l="0" t="0" r="0" b="0"/>
                <wp:wrapThrough wrapText="bothSides" distL="57150" distR="57150">
                  <wp:wrapPolygon edited="1">
                    <wp:start x="0" y="0"/>
                    <wp:lineTo x="21600" y="0"/>
                    <wp:lineTo x="21600" y="21600"/>
                    <wp:lineTo x="0" y="21600"/>
                    <wp:lineTo x="0" y="0"/>
                  </wp:wrapPolygon>
                </wp:wrapThrough>
                <wp:docPr id="1073741829" name="officeArt object" descr="Text Box 15"/>
                <wp:cNvGraphicFramePr/>
                <a:graphic xmlns:a="http://schemas.openxmlformats.org/drawingml/2006/main">
                  <a:graphicData uri="http://schemas.microsoft.com/office/word/2010/wordprocessingShape">
                    <wps:wsp>
                      <wps:cNvSpPr txBox="1"/>
                      <wps:spPr>
                        <a:xfrm>
                          <a:off x="0" y="0"/>
                          <a:ext cx="203200" cy="45085"/>
                        </a:xfrm>
                        <a:prstGeom prst="rect">
                          <a:avLst/>
                        </a:prstGeom>
                        <a:noFill/>
                        <a:ln w="12700" cap="flat">
                          <a:noFill/>
                          <a:miter lim="400000"/>
                        </a:ln>
                        <a:effectLst/>
                      </wps:spPr>
                      <wps:txbx>
                        <w:txbxContent>
                          <w:p w14:paraId="6A3199F3" w14:textId="77777777" w:rsidR="008442B0" w:rsidRDefault="006C387A">
                            <w:pPr>
                              <w:pStyle w:val="Body"/>
                              <w:rPr>
                                <w:rFonts w:ascii="Calibri" w:eastAsia="Calibri" w:hAnsi="Calibri" w:cs="Calibri"/>
                                <w:sz w:val="18"/>
                                <w:szCs w:val="18"/>
                              </w:rPr>
                            </w:pPr>
                            <w:r>
                              <w:rPr>
                                <w:rFonts w:ascii="Calibri" w:hAnsi="Calibri"/>
                                <w:sz w:val="18"/>
                                <w:szCs w:val="18"/>
                                <w:lang w:val="fr-FR"/>
                              </w:rPr>
                              <w:t>777 Avenue Louis Pasteur, NRB 358E</w:t>
                            </w:r>
                          </w:p>
                          <w:p w14:paraId="0BEBEF99" w14:textId="77777777" w:rsidR="008442B0" w:rsidRDefault="006C387A">
                            <w:pPr>
                              <w:pStyle w:val="Body"/>
                              <w:rPr>
                                <w:rFonts w:ascii="Calibri" w:eastAsia="Calibri" w:hAnsi="Calibri" w:cs="Calibri"/>
                                <w:sz w:val="18"/>
                                <w:szCs w:val="18"/>
                              </w:rPr>
                            </w:pPr>
                            <w:r>
                              <w:rPr>
                                <w:rFonts w:ascii="Calibri" w:hAnsi="Calibri"/>
                                <w:sz w:val="18"/>
                                <w:szCs w:val="18"/>
                              </w:rPr>
                              <w:t>Boston, Massachusetts 02115</w:t>
                            </w:r>
                          </w:p>
                          <w:p w14:paraId="75537EC5" w14:textId="77777777" w:rsidR="008442B0" w:rsidRDefault="006C387A">
                            <w:pPr>
                              <w:pStyle w:val="Body"/>
                              <w:rPr>
                                <w:rFonts w:ascii="Calibri" w:eastAsia="Calibri" w:hAnsi="Calibri" w:cs="Calibri"/>
                                <w:sz w:val="18"/>
                                <w:szCs w:val="18"/>
                              </w:rPr>
                            </w:pPr>
                            <w:r>
                              <w:rPr>
                                <w:rFonts w:ascii="Calibri" w:hAnsi="Calibri"/>
                                <w:sz w:val="18"/>
                                <w:szCs w:val="18"/>
                              </w:rPr>
                              <w:t>Tel</w:t>
                            </w:r>
                            <w:r>
                              <w:rPr>
                                <w:rFonts w:ascii="Calibri" w:hAnsi="Calibri"/>
                                <w:sz w:val="18"/>
                                <w:szCs w:val="18"/>
                              </w:rPr>
                              <w:tab/>
                              <w:t>617-432-4812</w:t>
                            </w:r>
                          </w:p>
                          <w:p w14:paraId="1F3342A1" w14:textId="77777777" w:rsidR="008442B0" w:rsidRDefault="006C387A">
                            <w:pPr>
                              <w:pStyle w:val="Body"/>
                              <w:rPr>
                                <w:rFonts w:ascii="Calibri" w:eastAsia="Calibri" w:hAnsi="Calibri" w:cs="Calibri"/>
                                <w:sz w:val="18"/>
                                <w:szCs w:val="18"/>
                              </w:rPr>
                            </w:pPr>
                            <w:r>
                              <w:rPr>
                                <w:rFonts w:ascii="Calibri" w:hAnsi="Calibri"/>
                                <w:sz w:val="18"/>
                                <w:szCs w:val="18"/>
                              </w:rPr>
                              <w:t xml:space="preserve">FAX </w:t>
                            </w:r>
                            <w:r>
                              <w:rPr>
                                <w:rFonts w:ascii="Calibri" w:hAnsi="Calibri"/>
                                <w:sz w:val="18"/>
                                <w:szCs w:val="18"/>
                              </w:rPr>
                              <w:tab/>
                              <w:t>617-432-7595</w:t>
                            </w:r>
                          </w:p>
                          <w:p w14:paraId="0C8FE618" w14:textId="77777777" w:rsidR="008442B0" w:rsidRDefault="00000000">
                            <w:pPr>
                              <w:pStyle w:val="Body"/>
                              <w:rPr>
                                <w:rFonts w:ascii="Calibri" w:eastAsia="Calibri" w:hAnsi="Calibri" w:cs="Calibri"/>
                                <w:sz w:val="18"/>
                                <w:szCs w:val="18"/>
                              </w:rPr>
                            </w:pPr>
                            <w:hyperlink r:id="rId10" w:history="1">
                              <w:r w:rsidR="006C387A">
                                <w:rPr>
                                  <w:rStyle w:val="Hyperlink0"/>
                                </w:rPr>
                                <w:t>dymecki@genetics.med.harvard.edu</w:t>
                              </w:r>
                            </w:hyperlink>
                          </w:p>
                          <w:p w14:paraId="077AE4C3" w14:textId="77777777" w:rsidR="008442B0" w:rsidRDefault="006C387A">
                            <w:pPr>
                              <w:pStyle w:val="Body"/>
                            </w:pPr>
                            <w:r>
                              <w:rPr>
                                <w:rFonts w:ascii="Calibri" w:hAnsi="Calibri"/>
                                <w:sz w:val="18"/>
                                <w:szCs w:val="18"/>
                              </w:rPr>
                              <w:t xml:space="preserve">Program Head:  </w:t>
                            </w:r>
                            <w:r>
                              <w:rPr>
                                <w:rFonts w:ascii="Calibri" w:hAnsi="Calibri"/>
                                <w:b/>
                                <w:bCs/>
                                <w:sz w:val="18"/>
                                <w:szCs w:val="18"/>
                              </w:rPr>
                              <w:t>Susan M. Dymecki, M.D., Ph.D</w:t>
                            </w:r>
                            <w:r>
                              <w:rPr>
                                <w:rFonts w:ascii="Calibri" w:hAnsi="Calibri"/>
                                <w:sz w:val="18"/>
                                <w:szCs w:val="18"/>
                              </w:rPr>
                              <w:t>.</w:t>
                            </w:r>
                          </w:p>
                        </w:txbxContent>
                      </wps:txbx>
                      <wps:bodyPr wrap="square" lIns="91439" tIns="91439" rIns="91439" bIns="91439" numCol="1" anchor="t">
                        <a:noAutofit/>
                      </wps:bodyPr>
                    </wps:wsp>
                  </a:graphicData>
                </a:graphic>
              </wp:anchor>
            </w:drawing>
          </mc:Choice>
          <mc:Fallback>
            <w:pict>
              <v:shape w14:anchorId="0B2F69E9" id="_x0000_s1027" type="#_x0000_t202" alt="Text Box 15" style="position:absolute;margin-left:551.2pt;margin-top:.8pt;width:16pt;height:3.55pt;z-index:251662336;visibility:visible;mso-wrap-style:square;mso-wrap-distance-left:4.5pt;mso-wrap-distance-top:4.5pt;mso-wrap-distance-right:4.5pt;mso-wrap-distance-bottom:4.5pt;mso-position-horizontal:absolute;mso-position-horizontal-relative:text;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" filled="f" stroked="f" strokeweight="1pt">
                <v:stroke miterlimit="4"/>
                <v:textbox inset="2.53997mm,2.53997mm,2.53997mm,2.53997mm">
                  <w:txbxContent>
                    <w:p w14:paraId="6A3199F3" w14:textId="77777777" w:rsidR="008442B0" w:rsidRDefault="006C387A">
                      <w:pPr>
                        <w:pStyle w:val="Body"/>
                        <w:rPr>
                          <w:rFonts w:ascii="Calibri" w:eastAsia="Calibri" w:hAnsi="Calibri" w:cs="Calibri"/>
                          <w:sz w:val="18"/>
                          <w:szCs w:val="18"/>
                        </w:rPr>
                      </w:pPr>
                      <w:r>
                        <w:rPr>
                          <w:rFonts w:ascii="Calibri" w:hAnsi="Calibri"/>
                          <w:sz w:val="18"/>
                          <w:szCs w:val="18"/>
                          <w:lang w:val="fr-FR"/>
                        </w:rPr>
                        <w:t>777 Avenue Louis Pasteur, NRB 358E</w:t>
                      </w:r>
                    </w:p>
                    <w:p w14:paraId="0BEBEF99" w14:textId="77777777" w:rsidR="008442B0" w:rsidRDefault="006C387A">
                      <w:pPr>
                        <w:pStyle w:val="Body"/>
                        <w:rPr>
                          <w:rFonts w:ascii="Calibri" w:eastAsia="Calibri" w:hAnsi="Calibri" w:cs="Calibri"/>
                          <w:sz w:val="18"/>
                          <w:szCs w:val="18"/>
                        </w:rPr>
                      </w:pPr>
                      <w:r>
                        <w:rPr>
                          <w:rFonts w:ascii="Calibri" w:hAnsi="Calibri"/>
                          <w:sz w:val="18"/>
                          <w:szCs w:val="18"/>
                        </w:rPr>
                        <w:t>Boston, Massachusetts 02115</w:t>
                      </w:r>
                    </w:p>
                    <w:p w14:paraId="75537EC5" w14:textId="77777777" w:rsidR="008442B0" w:rsidRDefault="006C387A">
                      <w:pPr>
                        <w:pStyle w:val="Body"/>
                        <w:rPr>
                          <w:rFonts w:ascii="Calibri" w:eastAsia="Calibri" w:hAnsi="Calibri" w:cs="Calibri"/>
                          <w:sz w:val="18"/>
                          <w:szCs w:val="18"/>
                        </w:rPr>
                      </w:pPr>
                      <w:r>
                        <w:rPr>
                          <w:rFonts w:ascii="Calibri" w:hAnsi="Calibri"/>
                          <w:sz w:val="18"/>
                          <w:szCs w:val="18"/>
                        </w:rPr>
                        <w:t>Tel</w:t>
                      </w:r>
                      <w:r>
                        <w:rPr>
                          <w:rFonts w:ascii="Calibri" w:hAnsi="Calibri"/>
                          <w:sz w:val="18"/>
                          <w:szCs w:val="18"/>
                        </w:rPr>
                        <w:tab/>
                        <w:t>617-432-4812</w:t>
                      </w:r>
                    </w:p>
                    <w:p w14:paraId="1F3342A1" w14:textId="77777777" w:rsidR="008442B0" w:rsidRDefault="006C387A">
                      <w:pPr>
                        <w:pStyle w:val="Body"/>
                        <w:rPr>
                          <w:rFonts w:ascii="Calibri" w:eastAsia="Calibri" w:hAnsi="Calibri" w:cs="Calibri"/>
                          <w:sz w:val="18"/>
                          <w:szCs w:val="18"/>
                        </w:rPr>
                      </w:pPr>
                      <w:r>
                        <w:rPr>
                          <w:rFonts w:ascii="Calibri" w:hAnsi="Calibri"/>
                          <w:sz w:val="18"/>
                          <w:szCs w:val="18"/>
                        </w:rPr>
                        <w:t xml:space="preserve">FAX </w:t>
                      </w:r>
                      <w:r>
                        <w:rPr>
                          <w:rFonts w:ascii="Calibri" w:hAnsi="Calibri"/>
                          <w:sz w:val="18"/>
                          <w:szCs w:val="18"/>
                        </w:rPr>
                        <w:tab/>
                        <w:t>617-432-7595</w:t>
                      </w:r>
                    </w:p>
                    <w:p w14:paraId="0C8FE618" w14:textId="77777777" w:rsidR="008442B0" w:rsidRDefault="00000000">
                      <w:pPr>
                        <w:pStyle w:val="Body"/>
                        <w:rPr>
                          <w:rFonts w:ascii="Calibri" w:eastAsia="Calibri" w:hAnsi="Calibri" w:cs="Calibri"/>
                          <w:sz w:val="18"/>
                          <w:szCs w:val="18"/>
                        </w:rPr>
                      </w:pPr>
                      <w:hyperlink r:id="rId11" w:history="1">
                        <w:r w:rsidR="006C387A">
                          <w:rPr>
                            <w:rStyle w:val="Hyperlink0"/>
                          </w:rPr>
                          <w:t>dymecki@genetics.med.harvard.edu</w:t>
                        </w:r>
                      </w:hyperlink>
                    </w:p>
                    <w:p w14:paraId="077AE4C3" w14:textId="77777777" w:rsidR="008442B0" w:rsidRDefault="006C387A">
                      <w:pPr>
                        <w:pStyle w:val="Body"/>
                      </w:pPr>
                      <w:r>
                        <w:rPr>
                          <w:rFonts w:ascii="Calibri" w:hAnsi="Calibri"/>
                          <w:sz w:val="18"/>
                          <w:szCs w:val="18"/>
                        </w:rPr>
                        <w:t xml:space="preserve">Program Head:  </w:t>
                      </w:r>
                      <w:r>
                        <w:rPr>
                          <w:rFonts w:ascii="Calibri" w:hAnsi="Calibri"/>
                          <w:b/>
                          <w:bCs/>
                          <w:sz w:val="18"/>
                          <w:szCs w:val="18"/>
                        </w:rPr>
                        <w:t>Susan M. Dymecki, M.D., Ph.D</w:t>
                      </w:r>
                      <w:r>
                        <w:rPr>
                          <w:rFonts w:ascii="Calibri" w:hAnsi="Calibri"/>
                          <w:sz w:val="18"/>
                          <w:szCs w:val="18"/>
                        </w:rPr>
                        <w:t>.</w:t>
                      </w:r>
                    </w:p>
                  </w:txbxContent>
                </v:textbox>
                <w10:wrap type="through" anchory="line"/>
              </v:shape>
            </w:pict>
          </mc:Fallback>
        </mc:AlternateContent>
      </w:r>
    </w:p>
    <w:p w14:paraId="10F31972" w14:textId="51983AB1" w:rsidR="008442B0" w:rsidRDefault="008442B0">
      <w:pPr>
        <w:pStyle w:val="Body"/>
        <w:spacing w:line="360" w:lineRule="auto"/>
        <w:rPr>
          <w:rFonts w:ascii="Calibri" w:eastAsia="Calibri" w:hAnsi="Calibri" w:cs="Calibri"/>
          <w:b/>
          <w:bCs/>
          <w:color w:val="595959"/>
          <w:sz w:val="28"/>
          <w:szCs w:val="28"/>
          <w:u w:color="595959"/>
        </w:rPr>
      </w:pPr>
    </w:p>
    <w:p w14:paraId="58107B6E" w14:textId="0B5C10B8" w:rsidR="006756B1" w:rsidRDefault="006756B1">
      <w:pPr>
        <w:pStyle w:val="Body"/>
        <w:spacing w:line="360" w:lineRule="auto"/>
        <w:rPr>
          <w:rFonts w:ascii="Calibri" w:eastAsia="Calibri" w:hAnsi="Calibri" w:cs="Calibri"/>
          <w:b/>
          <w:bCs/>
          <w:color w:val="595959"/>
          <w:sz w:val="28"/>
          <w:szCs w:val="28"/>
          <w:u w:color="595959"/>
        </w:rPr>
      </w:pPr>
    </w:p>
    <w:p w14:paraId="444E6F72" w14:textId="77777777" w:rsidR="006756B1" w:rsidRPr="006756B1" w:rsidRDefault="006756B1" w:rsidP="006756B1">
      <w:pPr>
        <w:rPr>
          <w:b/>
          <w:bCs/>
          <w:sz w:val="28"/>
          <w:szCs w:val="28"/>
        </w:rPr>
      </w:pPr>
      <w:r w:rsidRPr="006756B1">
        <w:rPr>
          <w:b/>
          <w:bCs/>
          <w:sz w:val="28"/>
          <w:szCs w:val="28"/>
        </w:rPr>
        <w:t>BBS Course Waiver and Course Substitution Requests</w:t>
      </w:r>
    </w:p>
    <w:p w14:paraId="10164BD9" w14:textId="77777777" w:rsidR="006756B1" w:rsidRDefault="006756B1" w:rsidP="006756B1">
      <w:bookmarkStart w:id="2" w:name="_Hlk117497258"/>
    </w:p>
    <w:p w14:paraId="426878BB" w14:textId="77777777" w:rsidR="006756B1" w:rsidRDefault="006756B1" w:rsidP="006756B1"/>
    <w:p w14:paraId="3CEC80EA" w14:textId="77777777" w:rsidR="006756B1" w:rsidRPr="00EF50A9" w:rsidRDefault="006756B1" w:rsidP="006756B1">
      <w:pPr>
        <w:rPr>
          <w:b/>
          <w:bCs/>
          <w:i/>
          <w:iCs/>
        </w:rPr>
      </w:pPr>
      <w:r w:rsidRPr="00EF50A9">
        <w:rPr>
          <w:b/>
          <w:bCs/>
          <w:i/>
          <w:iCs/>
        </w:rPr>
        <w:t>Course Substitution Policy</w:t>
      </w:r>
    </w:p>
    <w:p w14:paraId="581A68D3" w14:textId="77777777" w:rsidR="006756B1" w:rsidRDefault="006756B1" w:rsidP="006756B1">
      <w:r>
        <w:t xml:space="preserve">Harvard Medical School and the Harvard University Graduate School of Arts and Sciences do not accept transfer credits from other academic institutions.  However, students who have taken graduate-level equivalent courses at another institution in a relevant science program may petition to substitute up to but no more than two required BBS core courses (Gen201, BCMP200, CB201, BBS230A/B).  </w:t>
      </w:r>
      <w:r>
        <w:br/>
      </w:r>
      <w:r w:rsidRPr="00EF50A9">
        <w:rPr>
          <w:b/>
          <w:bCs/>
          <w:i/>
          <w:iCs/>
        </w:rPr>
        <w:t xml:space="preserve">Course Substitution </w:t>
      </w:r>
      <w:r w:rsidRPr="00074A29">
        <w:rPr>
          <w:b/>
          <w:bCs/>
          <w:i/>
          <w:iCs/>
        </w:rPr>
        <w:t>Process</w:t>
      </w:r>
    </w:p>
    <w:p w14:paraId="08343C00" w14:textId="77777777" w:rsidR="006756B1" w:rsidRDefault="006756B1" w:rsidP="006756B1">
      <w:r>
        <w:t>The student must demonstrate to the Course Faculty Director(s) that they meet the content knowledge of the core course(s). In consultation with the Course Faculty Director(s) the student will need to:</w:t>
      </w:r>
    </w:p>
    <w:p w14:paraId="56EE7B34" w14:textId="77777777" w:rsidR="006756B1" w:rsidRDefault="006756B1" w:rsidP="006756B1">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review past coursework;</w:t>
      </w:r>
    </w:p>
    <w:p w14:paraId="15F9645E" w14:textId="77777777" w:rsidR="006756B1" w:rsidRDefault="006756B1" w:rsidP="006756B1">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share the elective course the student would like to take in the core course’s place;</w:t>
      </w:r>
    </w:p>
    <w:p w14:paraId="1B8C21E6" w14:textId="77777777" w:rsidR="006756B1" w:rsidRDefault="006756B1" w:rsidP="006756B1">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 xml:space="preserve">demonstrate proper content knowledge orally; and </w:t>
      </w:r>
    </w:p>
    <w:p w14:paraId="69FD2D6C" w14:textId="77777777" w:rsidR="006756B1" w:rsidRDefault="006756B1" w:rsidP="006756B1">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pPr>
      <w:r>
        <w:t>pass a short quiz,</w:t>
      </w:r>
    </w:p>
    <w:p w14:paraId="30C48345" w14:textId="77777777" w:rsidR="006756B1" w:rsidRDefault="006756B1" w:rsidP="006756B1"/>
    <w:p w14:paraId="7DECAB48" w14:textId="77777777" w:rsidR="006756B1" w:rsidRDefault="006756B1" w:rsidP="006756B1">
      <w:r>
        <w:t>Then the student can substitute the core course with an elective course that meets the student’s needs and interests. BBS students interested in petitioning should, in consultation with their Program Advisor, complete the course substitution form.  If a student receives approval for a substitution, the student will still need to take 8 courses to meet the BBS program requirements.</w:t>
      </w:r>
    </w:p>
    <w:p w14:paraId="7B73D25A" w14:textId="77777777" w:rsidR="006756B1" w:rsidRDefault="006756B1" w:rsidP="006756B1">
      <w:r>
        <w:t>Course substitution forms should be completed by the second Monday of the fall semester.</w:t>
      </w:r>
    </w:p>
    <w:p w14:paraId="2559C7CC" w14:textId="77777777" w:rsidR="006756B1" w:rsidRDefault="006756B1" w:rsidP="006756B1"/>
    <w:p w14:paraId="0052B5C1" w14:textId="77777777" w:rsidR="006756B1" w:rsidRDefault="006756B1" w:rsidP="006756B1">
      <w:pPr>
        <w:rPr>
          <w:b/>
          <w:bCs/>
          <w:i/>
          <w:iCs/>
        </w:rPr>
      </w:pPr>
    </w:p>
    <w:p w14:paraId="00135C06" w14:textId="77777777" w:rsidR="006756B1" w:rsidRPr="00F154A6" w:rsidRDefault="006756B1" w:rsidP="006756B1">
      <w:pPr>
        <w:rPr>
          <w:b/>
          <w:bCs/>
          <w:i/>
          <w:iCs/>
        </w:rPr>
      </w:pPr>
      <w:r w:rsidRPr="00F154A6">
        <w:rPr>
          <w:b/>
          <w:bCs/>
          <w:i/>
          <w:iCs/>
        </w:rPr>
        <w:t>Course Waiver Policy</w:t>
      </w:r>
      <w:r>
        <w:rPr>
          <w:b/>
          <w:bCs/>
          <w:i/>
          <w:iCs/>
        </w:rPr>
        <w:t xml:space="preserve"> for Students with a Previous Master’s Degree</w:t>
      </w:r>
    </w:p>
    <w:p w14:paraId="01BDFA6C" w14:textId="77777777" w:rsidR="006756B1" w:rsidRDefault="006756B1" w:rsidP="006756B1">
      <w:r>
        <w:t xml:space="preserve">Harvard Medical School and the Harvard Graduate School of Arts and Sciences do not accept transfer credits from other academic institutions.  However, students who have received a master’s degree and taken equivalent courses at another graduate institution in a relevant science program may petition to waive up to two required BBS courses.  BBS students interested in petitioning should, in consultation with </w:t>
      </w:r>
      <w:r w:rsidRPr="003B3376">
        <w:t>their Program Advisor</w:t>
      </w:r>
      <w:r>
        <w:t xml:space="preserve"> and/or BBS Faculty Director</w:t>
      </w:r>
      <w:r w:rsidRPr="003B3376">
        <w:t>,</w:t>
      </w:r>
      <w:r>
        <w:t xml:space="preserve"> complete the course waiver form to have up to two courses of the required eight courses waived.  Normally, the courses that will be waived are elective courses and not one of the four required core content courses unless the student can demonstrate to the Core Course Faculty Directors that the meet the content knowledge of those courses.  In total, </w:t>
      </w:r>
      <w:r w:rsidRPr="00E651B0">
        <w:rPr>
          <w:u w:val="single"/>
        </w:rPr>
        <w:t>the student will be taking 6 of 8 required BBS courses to meet the program requirements</w:t>
      </w:r>
      <w:r>
        <w:t>.</w:t>
      </w:r>
    </w:p>
    <w:p w14:paraId="703CB179" w14:textId="77777777" w:rsidR="006756B1" w:rsidRDefault="006756B1" w:rsidP="006756B1">
      <w:r>
        <w:t>Course waiver forms should be completed by the second Monday of the fall semester.</w:t>
      </w:r>
    </w:p>
    <w:p w14:paraId="637167E7" w14:textId="77777777" w:rsidR="006756B1" w:rsidRDefault="006756B1" w:rsidP="006756B1"/>
    <w:p w14:paraId="10AC0022" w14:textId="77777777" w:rsidR="006756B1" w:rsidRDefault="006756B1" w:rsidP="006756B1"/>
    <w:p w14:paraId="318DCB74" w14:textId="77777777" w:rsidR="006756B1" w:rsidRPr="003B3376" w:rsidRDefault="006756B1" w:rsidP="006756B1">
      <w:pPr>
        <w:rPr>
          <w:b/>
          <w:bCs/>
          <w:i/>
          <w:iCs/>
        </w:rPr>
      </w:pPr>
      <w:r w:rsidRPr="003B3376">
        <w:rPr>
          <w:b/>
          <w:bCs/>
          <w:i/>
          <w:iCs/>
        </w:rPr>
        <w:t xml:space="preserve">Course </w:t>
      </w:r>
      <w:r>
        <w:rPr>
          <w:b/>
          <w:bCs/>
          <w:i/>
          <w:iCs/>
        </w:rPr>
        <w:t>W</w:t>
      </w:r>
      <w:r w:rsidRPr="003B3376">
        <w:rPr>
          <w:b/>
          <w:bCs/>
          <w:i/>
          <w:iCs/>
        </w:rPr>
        <w:t>aiver</w:t>
      </w:r>
      <w:r>
        <w:rPr>
          <w:b/>
          <w:bCs/>
          <w:i/>
          <w:iCs/>
        </w:rPr>
        <w:t xml:space="preserve"> P</w:t>
      </w:r>
      <w:r w:rsidRPr="003B3376">
        <w:rPr>
          <w:b/>
          <w:bCs/>
          <w:i/>
          <w:iCs/>
        </w:rPr>
        <w:t xml:space="preserve">olicy for </w:t>
      </w:r>
      <w:r>
        <w:rPr>
          <w:b/>
          <w:bCs/>
          <w:i/>
          <w:iCs/>
        </w:rPr>
        <w:t>S</w:t>
      </w:r>
      <w:r w:rsidRPr="003B3376">
        <w:rPr>
          <w:b/>
          <w:bCs/>
          <w:i/>
          <w:iCs/>
        </w:rPr>
        <w:t xml:space="preserve">tudents with </w:t>
      </w:r>
      <w:r>
        <w:rPr>
          <w:b/>
          <w:bCs/>
          <w:i/>
          <w:iCs/>
        </w:rPr>
        <w:t>P</w:t>
      </w:r>
      <w:r w:rsidRPr="003B3376">
        <w:rPr>
          <w:b/>
          <w:bCs/>
          <w:i/>
          <w:iCs/>
        </w:rPr>
        <w:t xml:space="preserve">revious </w:t>
      </w:r>
      <w:r>
        <w:rPr>
          <w:b/>
          <w:bCs/>
          <w:i/>
          <w:iCs/>
        </w:rPr>
        <w:t>D</w:t>
      </w:r>
      <w:r w:rsidRPr="003B3376">
        <w:rPr>
          <w:b/>
          <w:bCs/>
          <w:i/>
          <w:iCs/>
        </w:rPr>
        <w:t xml:space="preserve">octoral </w:t>
      </w:r>
      <w:r>
        <w:rPr>
          <w:b/>
          <w:bCs/>
          <w:i/>
          <w:iCs/>
        </w:rPr>
        <w:t>C</w:t>
      </w:r>
      <w:r w:rsidRPr="003B3376">
        <w:rPr>
          <w:b/>
          <w:bCs/>
          <w:i/>
          <w:iCs/>
        </w:rPr>
        <w:t>oursework</w:t>
      </w:r>
    </w:p>
    <w:p w14:paraId="27C2F656" w14:textId="77777777" w:rsidR="006756B1" w:rsidRDefault="006756B1" w:rsidP="006756B1">
      <w:r>
        <w:t xml:space="preserve">Harvard Medical School and the Harvard Graduate School of Arts and Sciences do not accept transfer credits from other academic institutions.  However, students who have completed equivalent courses at another graduate institution while pursuing a PhD in a relevant science program may petition to waive up to two required BBS courses.  BBS students interested in petitioning should, in consultation with </w:t>
      </w:r>
      <w:r w:rsidRPr="003B3376">
        <w:t xml:space="preserve">their Program </w:t>
      </w:r>
      <w:r w:rsidRPr="003B3376">
        <w:lastRenderedPageBreak/>
        <w:t>Advisor and</w:t>
      </w:r>
      <w:r>
        <w:t xml:space="preserve">/or BBS Faculty Director, complete the course waiver form to have up to two courses of the required eight courses waived.  Normally, the courses that will be waived are elective courses and not one of the four required core content courses unless the student can demonstrate to the Core Course Faculty Directors that the meet the content knowledge of those courses.  In total, </w:t>
      </w:r>
      <w:r w:rsidRPr="00E651B0">
        <w:rPr>
          <w:u w:val="single"/>
        </w:rPr>
        <w:t>the student will be taking 6 of 8 required BBS courses to meet the program requirements</w:t>
      </w:r>
      <w:r>
        <w:t>.</w:t>
      </w:r>
    </w:p>
    <w:p w14:paraId="7D7108DF" w14:textId="77777777" w:rsidR="006756B1" w:rsidRDefault="006756B1" w:rsidP="006756B1">
      <w:r>
        <w:t>Course waiver forms should be completed by the second Monday of the fall semester.</w:t>
      </w:r>
    </w:p>
    <w:p w14:paraId="746E45B9" w14:textId="77777777" w:rsidR="006756B1" w:rsidRDefault="006756B1" w:rsidP="006756B1"/>
    <w:p w14:paraId="4575CE02" w14:textId="77777777" w:rsidR="006756B1" w:rsidRDefault="006756B1" w:rsidP="006756B1"/>
    <w:p w14:paraId="536CE9AF" w14:textId="77777777" w:rsidR="006756B1" w:rsidRPr="00517426" w:rsidRDefault="006756B1" w:rsidP="006756B1">
      <w:pPr>
        <w:rPr>
          <w:b/>
          <w:bCs/>
          <w:i/>
          <w:iCs/>
        </w:rPr>
      </w:pPr>
      <w:r w:rsidRPr="00517426">
        <w:rPr>
          <w:b/>
          <w:bCs/>
          <w:i/>
          <w:iCs/>
        </w:rPr>
        <w:t>MD</w:t>
      </w:r>
      <w:r>
        <w:rPr>
          <w:b/>
          <w:bCs/>
          <w:i/>
          <w:iCs/>
        </w:rPr>
        <w:t>-PhD and DMD-PhD</w:t>
      </w:r>
      <w:r w:rsidRPr="00517426">
        <w:rPr>
          <w:b/>
          <w:bCs/>
          <w:i/>
          <w:iCs/>
        </w:rPr>
        <w:t xml:space="preserve"> Course Waiver Policy</w:t>
      </w:r>
    </w:p>
    <w:p w14:paraId="144DB8F1" w14:textId="77777777" w:rsidR="006756B1" w:rsidRDefault="006756B1" w:rsidP="006756B1">
      <w:r w:rsidRPr="00DF7B4E">
        <w:t xml:space="preserve">All MDP </w:t>
      </w:r>
      <w:r>
        <w:t xml:space="preserve">and DMD-PhD </w:t>
      </w:r>
      <w:r w:rsidRPr="00DF7B4E">
        <w:t xml:space="preserve">BBS </w:t>
      </w:r>
      <w:r>
        <w:t xml:space="preserve">in BBS </w:t>
      </w:r>
      <w:r w:rsidRPr="00DF7B4E">
        <w:t>are required to take BBS</w:t>
      </w:r>
      <w:r>
        <w:t xml:space="preserve"> </w:t>
      </w:r>
      <w:r w:rsidRPr="00DF7B4E">
        <w:t>230</w:t>
      </w:r>
      <w:r>
        <w:t>A</w:t>
      </w:r>
      <w:r w:rsidRPr="00DF7B4E">
        <w:t xml:space="preserve"> in the </w:t>
      </w:r>
      <w:r>
        <w:t>fall</w:t>
      </w:r>
      <w:r w:rsidRPr="00DF7B4E">
        <w:t xml:space="preserve"> of their first BBS (G1) yea</w:t>
      </w:r>
      <w:r>
        <w:t>r</w:t>
      </w:r>
      <w:r w:rsidRPr="00DF7B4E">
        <w:t>. In addition, MDP students must take one of the three core content courses in year 1: G</w:t>
      </w:r>
      <w:r>
        <w:t>EN</w:t>
      </w:r>
      <w:r w:rsidRPr="00DF7B4E">
        <w:t>201 Principles of Genetics (fall); BCMP200 Principles of Molecular Biology (fall), or CB201 Principles of Cell Biology (</w:t>
      </w:r>
      <w:r>
        <w:t>spring</w:t>
      </w:r>
      <w:r w:rsidRPr="00DF7B4E">
        <w:t xml:space="preserve">). </w:t>
      </w:r>
    </w:p>
    <w:p w14:paraId="04BCAB47" w14:textId="77777777" w:rsidR="006756B1" w:rsidRDefault="006756B1" w:rsidP="006756B1"/>
    <w:p w14:paraId="55037F56" w14:textId="77777777" w:rsidR="006756B1" w:rsidRDefault="006756B1" w:rsidP="006756B1">
      <w:r w:rsidRPr="00DF7B4E">
        <w:t>In addition to BBS 230</w:t>
      </w:r>
      <w:r>
        <w:t>A</w:t>
      </w:r>
      <w:r w:rsidRPr="00DF7B4E">
        <w:t xml:space="preserve"> and the chosen core content course, MDPs </w:t>
      </w:r>
      <w:r>
        <w:t xml:space="preserve">and DMD-PhDs </w:t>
      </w:r>
      <w:r w:rsidRPr="00DF7B4E">
        <w:t>will build an individualized program of study that includes an additional 2 full-semester equivalents for HST MDP students and 4 full-semester equivalents for Pathway MDP students.</w:t>
      </w:r>
    </w:p>
    <w:p w14:paraId="0238D718" w14:textId="77777777" w:rsidR="006756B1" w:rsidRPr="00DF7B4E" w:rsidRDefault="006756B1" w:rsidP="006756B1"/>
    <w:p w14:paraId="59A066D2" w14:textId="77777777" w:rsidR="006756B1" w:rsidRDefault="006756B1" w:rsidP="006756B1">
      <w:r w:rsidRPr="00DF7B4E">
        <w:t xml:space="preserve">Overall, the total number of course credits required for </w:t>
      </w:r>
      <w:r>
        <w:t xml:space="preserve">completion of the </w:t>
      </w:r>
      <w:r w:rsidRPr="00DF7B4E">
        <w:t xml:space="preserve">Ph.D. will remain unchanged from prior years at 6 full-semester equivalents for BBS MDP Pathway </w:t>
      </w:r>
      <w:r>
        <w:t xml:space="preserve">or DMD-PhD </w:t>
      </w:r>
      <w:r w:rsidRPr="00DF7B4E">
        <w:t>students and 4 for BBS MDP HST students.</w:t>
      </w:r>
      <w:r>
        <w:t xml:space="preserve"> It’s important to note that the 2022 BBS 230A course provides only a half-semester (quarter course) credit; we will not require MDPs to take the BBS 230B spring course, but we encourage you to consider this or other courses that focus on experimental design.</w:t>
      </w:r>
    </w:p>
    <w:p w14:paraId="79955B7B" w14:textId="77777777" w:rsidR="006756B1" w:rsidRPr="00DF7B4E" w:rsidRDefault="006756B1" w:rsidP="006756B1"/>
    <w:p w14:paraId="71E382AE" w14:textId="77777777" w:rsidR="006756B1" w:rsidRPr="00DF7B4E" w:rsidRDefault="006756B1" w:rsidP="006756B1">
      <w:pPr>
        <w:rPr>
          <w:b/>
        </w:rPr>
      </w:pPr>
      <w:r w:rsidRPr="00DF7B4E">
        <w:rPr>
          <w:b/>
        </w:rPr>
        <w:t>BBS HST MDP students</w:t>
      </w:r>
      <w:r>
        <w:rPr>
          <w:b/>
        </w:rPr>
        <w:tab/>
      </w:r>
      <w:r>
        <w:rPr>
          <w:b/>
        </w:rPr>
        <w:tab/>
      </w:r>
      <w:r>
        <w:rPr>
          <w:b/>
        </w:rPr>
        <w:tab/>
      </w:r>
      <w:r>
        <w:rPr>
          <w:b/>
        </w:rPr>
        <w:tab/>
      </w:r>
      <w:r w:rsidRPr="00DF7B4E">
        <w:rPr>
          <w:b/>
        </w:rPr>
        <w:t>BBS Pathway MDP</w:t>
      </w:r>
      <w:r>
        <w:rPr>
          <w:b/>
        </w:rPr>
        <w:t xml:space="preserve">/DMD-PhD </w:t>
      </w:r>
      <w:r w:rsidRPr="00DF7B4E">
        <w:rPr>
          <w:b/>
        </w:rPr>
        <w:t>students</w:t>
      </w:r>
    </w:p>
    <w:p w14:paraId="401936EF" w14:textId="77777777" w:rsidR="006756B1" w:rsidRPr="00B87264" w:rsidRDefault="006756B1" w:rsidP="006756B1">
      <w:pPr>
        <w:ind w:left="5040" w:hanging="5040"/>
        <w:rPr>
          <w:b/>
          <w:bCs/>
          <w:i/>
          <w:iCs/>
        </w:rPr>
      </w:pPr>
      <w:r w:rsidRPr="00B87264">
        <w:rPr>
          <w:b/>
          <w:bCs/>
          <w:i/>
          <w:iCs/>
        </w:rPr>
        <w:t>Total 4 full-semester (half course) equivalents</w:t>
      </w:r>
      <w:r>
        <w:tab/>
      </w:r>
      <w:r w:rsidRPr="00B87264">
        <w:rPr>
          <w:b/>
          <w:bCs/>
          <w:i/>
          <w:iCs/>
        </w:rPr>
        <w:t>Total 6 full-semester (half course) equivalents</w:t>
      </w:r>
    </w:p>
    <w:p w14:paraId="225D540E" w14:textId="77777777" w:rsidR="006756B1" w:rsidRPr="00DF7B4E" w:rsidRDefault="006756B1" w:rsidP="006756B1">
      <w:pPr>
        <w:ind w:left="5040" w:hanging="5040"/>
      </w:pPr>
      <w:r w:rsidRPr="00DF7B4E">
        <w:t>BBS 230</w:t>
      </w:r>
      <w:r>
        <w:t>A</w:t>
      </w:r>
      <w:r w:rsidRPr="00DF7B4E">
        <w:t xml:space="preserve"> Analysis of the Biological Literature</w:t>
      </w:r>
      <w:r>
        <w:tab/>
      </w:r>
      <w:r w:rsidRPr="00DF7B4E">
        <w:t>BBS 230 Analysis of the Biological Literature</w:t>
      </w:r>
    </w:p>
    <w:p w14:paraId="716E5FC5" w14:textId="77777777" w:rsidR="006756B1" w:rsidRDefault="006756B1" w:rsidP="006756B1">
      <w:r w:rsidRPr="00DF7B4E">
        <w:t>1 Core Content cours</w:t>
      </w:r>
      <w:r>
        <w:t>e</w:t>
      </w:r>
      <w:r>
        <w:tab/>
      </w:r>
      <w:r>
        <w:tab/>
      </w:r>
      <w:r>
        <w:tab/>
      </w:r>
      <w:r>
        <w:tab/>
      </w:r>
      <w:r>
        <w:tab/>
      </w:r>
      <w:r w:rsidRPr="00DF7B4E">
        <w:t>1 Core Content course</w:t>
      </w:r>
      <w:r>
        <w:t xml:space="preserve"> </w:t>
      </w:r>
    </w:p>
    <w:p w14:paraId="325CFBBB" w14:textId="77777777" w:rsidR="006756B1" w:rsidRPr="00DF7B4E" w:rsidRDefault="006756B1" w:rsidP="006756B1">
      <w:r w:rsidRPr="00DF7B4E">
        <w:t>(G</w:t>
      </w:r>
      <w:r>
        <w:t>EN</w:t>
      </w:r>
      <w:r w:rsidRPr="00DF7B4E">
        <w:t xml:space="preserve"> 201, BCMP 200, or CB 201)</w:t>
      </w:r>
      <w:r>
        <w:tab/>
      </w:r>
      <w:r>
        <w:tab/>
      </w:r>
      <w:r>
        <w:tab/>
      </w:r>
      <w:r w:rsidRPr="00DF7B4E">
        <w:t>(G</w:t>
      </w:r>
      <w:r>
        <w:t>EN</w:t>
      </w:r>
      <w:r w:rsidRPr="00DF7B4E">
        <w:t xml:space="preserve"> 201, BCMP 200, or CB 201)</w:t>
      </w:r>
    </w:p>
    <w:p w14:paraId="343215D1" w14:textId="77777777" w:rsidR="006756B1" w:rsidRDefault="006756B1" w:rsidP="006756B1">
      <w:r w:rsidRPr="00DF7B4E">
        <w:t>2 full-semester equivalents</w:t>
      </w:r>
      <w:r>
        <w:t>*</w:t>
      </w:r>
      <w:r>
        <w:tab/>
      </w:r>
      <w:r>
        <w:tab/>
      </w:r>
      <w:r>
        <w:tab/>
      </w:r>
      <w:r>
        <w:tab/>
      </w:r>
      <w:r w:rsidRPr="00DF7B4E">
        <w:t>4 full-semester equivalents</w:t>
      </w:r>
      <w:r>
        <w:t>*</w:t>
      </w:r>
    </w:p>
    <w:p w14:paraId="007BC773" w14:textId="77777777" w:rsidR="006756B1" w:rsidRDefault="006756B1" w:rsidP="006756B1">
      <w:r w:rsidRPr="00DF7B4E">
        <w:t>(</w:t>
      </w:r>
      <w:r>
        <w:t xml:space="preserve">*This </w:t>
      </w:r>
      <w:r w:rsidRPr="00DF7B4E">
        <w:t>may include the other Core Content courses or specialized courses in the form of full-semester, quarter, or nano-courses</w:t>
      </w:r>
      <w:r>
        <w:t>. The m</w:t>
      </w:r>
      <w:r w:rsidRPr="00DF7B4E">
        <w:t xml:space="preserve">aximum number of </w:t>
      </w:r>
      <w:proofErr w:type="spellStart"/>
      <w:r w:rsidRPr="00DF7B4E">
        <w:t>nanocourses</w:t>
      </w:r>
      <w:proofErr w:type="spellEnd"/>
      <w:r w:rsidRPr="00DF7B4E">
        <w:t xml:space="preserve"> allowable towards degree is 6.</w:t>
      </w:r>
      <w:r>
        <w:t>)</w:t>
      </w:r>
    </w:p>
    <w:p w14:paraId="279F360F" w14:textId="77777777" w:rsidR="006756B1" w:rsidRPr="00DF7B4E" w:rsidRDefault="006756B1" w:rsidP="006756B1"/>
    <w:p w14:paraId="21E9A888" w14:textId="59C98E21" w:rsidR="006756B1" w:rsidRDefault="006756B1" w:rsidP="006756B1">
      <w:r w:rsidRPr="00DF7B4E">
        <w:t xml:space="preserve">Should an MDP student harbor great scholarship already in </w:t>
      </w:r>
      <w:r>
        <w:t>all</w:t>
      </w:r>
      <w:r w:rsidRPr="00DF7B4E">
        <w:t xml:space="preserve"> of the core </w:t>
      </w:r>
      <w:r>
        <w:t xml:space="preserve">course content and skill </w:t>
      </w:r>
      <w:r w:rsidRPr="00DF7B4E">
        <w:t xml:space="preserve">areas (Genetics, Molecular Biology, and/or Cell Biology) such that no single core content course makes sense for them, they may </w:t>
      </w:r>
      <w:r>
        <w:t>request an opt-out</w:t>
      </w:r>
      <w:r w:rsidRPr="00DF7B4E">
        <w:t xml:space="preserve"> upon review of course content with each </w:t>
      </w:r>
      <w:r>
        <w:t xml:space="preserve">core </w:t>
      </w:r>
      <w:r w:rsidRPr="00DF7B4E">
        <w:t>course director</w:t>
      </w:r>
      <w:r w:rsidR="00B87264">
        <w:t xml:space="preserve"> (see course waiver policy)</w:t>
      </w:r>
      <w:r w:rsidRPr="00DF7B4E">
        <w:t>.</w:t>
      </w:r>
    </w:p>
    <w:p w14:paraId="1BF32889" w14:textId="77777777" w:rsidR="006756B1" w:rsidRPr="00DF7B4E" w:rsidRDefault="006756B1" w:rsidP="006756B1"/>
    <w:p w14:paraId="5A66D7A9" w14:textId="77777777" w:rsidR="006756B1" w:rsidRPr="00DF7B4E" w:rsidRDefault="006756B1" w:rsidP="006756B1">
      <w:r w:rsidRPr="00DF7B4E">
        <w:t xml:space="preserve">BBS 330 Critical Thinking and Research Proposal Writing </w:t>
      </w:r>
      <w:r>
        <w:t xml:space="preserve">is </w:t>
      </w:r>
      <w:r w:rsidRPr="00DF7B4E">
        <w:t>an optional course offered in the fall, taken by students wanting extended training in proposal writing before the PQE. MDPs already in their thesis lab may take BBS 330 in the fall of their G1 year as helpful preparation for a PQE exam in the late G1 spring.</w:t>
      </w:r>
    </w:p>
    <w:p w14:paraId="366C6651" w14:textId="77777777" w:rsidR="006756B1" w:rsidRDefault="006756B1" w:rsidP="006756B1"/>
    <w:p w14:paraId="7B808333" w14:textId="77777777" w:rsidR="006756B1" w:rsidRDefault="006756B1" w:rsidP="006756B1"/>
    <w:bookmarkEnd w:id="2"/>
    <w:p w14:paraId="0C363A4F" w14:textId="77777777" w:rsidR="006756B1" w:rsidRDefault="006756B1" w:rsidP="006756B1"/>
    <w:p w14:paraId="65FA0994" w14:textId="77777777" w:rsidR="006756B1" w:rsidRDefault="006756B1">
      <w:pPr>
        <w:pStyle w:val="Body"/>
        <w:spacing w:line="360" w:lineRule="auto"/>
        <w:rPr>
          <w:rFonts w:ascii="Calibri" w:eastAsia="Calibri" w:hAnsi="Calibri" w:cs="Calibri"/>
          <w:b/>
          <w:bCs/>
          <w:color w:val="595959"/>
          <w:sz w:val="28"/>
          <w:szCs w:val="28"/>
          <w:u w:color="595959"/>
        </w:rPr>
      </w:pPr>
    </w:p>
    <w:sectPr w:rsidR="006756B1">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B250" w14:textId="77777777" w:rsidR="00B67265" w:rsidRDefault="00B67265">
      <w:r>
        <w:separator/>
      </w:r>
    </w:p>
  </w:endnote>
  <w:endnote w:type="continuationSeparator" w:id="0">
    <w:p w14:paraId="7A517547" w14:textId="77777777" w:rsidR="00B67265" w:rsidRDefault="00B6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ACDA" w14:textId="77777777" w:rsidR="008442B0" w:rsidRDefault="008442B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27E8" w14:textId="77777777" w:rsidR="00B67265" w:rsidRDefault="00B67265">
      <w:r>
        <w:separator/>
      </w:r>
    </w:p>
  </w:footnote>
  <w:footnote w:type="continuationSeparator" w:id="0">
    <w:p w14:paraId="62FC4834" w14:textId="77777777" w:rsidR="00B67265" w:rsidRDefault="00B6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43F2" w14:textId="77777777" w:rsidR="008442B0" w:rsidRDefault="008442B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D1DDD"/>
    <w:multiLevelType w:val="hybridMultilevel"/>
    <w:tmpl w:val="9AF649E2"/>
    <w:styleLink w:val="ImportedStyle1"/>
    <w:lvl w:ilvl="0" w:tplc="F40ACE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BC3F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CA239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91ABE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E494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74652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26EC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F618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DC438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91D69B7"/>
    <w:multiLevelType w:val="hybridMultilevel"/>
    <w:tmpl w:val="9AF649E2"/>
    <w:numStyleLink w:val="ImportedStyle1"/>
  </w:abstractNum>
  <w:abstractNum w:abstractNumId="2" w15:restartNumberingAfterBreak="0">
    <w:nsid w:val="7C470B90"/>
    <w:multiLevelType w:val="hybridMultilevel"/>
    <w:tmpl w:val="AE267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70513255">
    <w:abstractNumId w:val="0"/>
  </w:num>
  <w:num w:numId="2" w16cid:durableId="1832524300">
    <w:abstractNumId w:val="1"/>
  </w:num>
  <w:num w:numId="3" w16cid:durableId="973868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B0"/>
    <w:rsid w:val="00485553"/>
    <w:rsid w:val="00492039"/>
    <w:rsid w:val="00645089"/>
    <w:rsid w:val="006756B1"/>
    <w:rsid w:val="006926E3"/>
    <w:rsid w:val="006C387A"/>
    <w:rsid w:val="00715298"/>
    <w:rsid w:val="008442B0"/>
    <w:rsid w:val="00972818"/>
    <w:rsid w:val="00B67265"/>
    <w:rsid w:val="00B87264"/>
    <w:rsid w:val="00B87A46"/>
    <w:rsid w:val="00D6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BFAA"/>
  <w15:docId w15:val="{A95055EB-16F1-4585-BA7F-FC0FA8C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Arial" w:hAnsi="Arial" w:cs="Arial Unicode MS"/>
      <w:color w:val="000000"/>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18"/>
      <w:szCs w:val="18"/>
      <w:u w:val="single" w:color="0000FF"/>
    </w:rPr>
  </w:style>
  <w:style w:type="paragraph" w:styleId="ListParagraph">
    <w:name w:val="List Paragraph"/>
    <w:uiPriority w:val="34"/>
    <w:qFormat/>
    <w:pPr>
      <w:ind w:left="720"/>
    </w:pPr>
    <w:rPr>
      <w:rFonts w:ascii="Arial" w:hAnsi="Arial" w:cs="Arial Unicode MS"/>
      <w:color w:val="000000"/>
      <w:u w:color="000000"/>
    </w:rPr>
  </w:style>
  <w:style w:type="numbering" w:customStyle="1" w:styleId="ImportedStyle1">
    <w:name w:val="Imported Style 1"/>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1">
    <w:name w:val="Hyperlink.1"/>
    <w:basedOn w:val="Link"/>
    <w:rPr>
      <w:outline w:val="0"/>
      <w:color w:val="0000FF"/>
      <w:sz w:val="22"/>
      <w:szCs w:val="22"/>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5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mecki@genetics.med.harvar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ymecki@genetics.med.harvard.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8DA1C-45B2-4490-9748-2AD66976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Anne</dc:creator>
  <cp:lastModifiedBy>Duckett, Deirdre</cp:lastModifiedBy>
  <cp:revision>3</cp:revision>
  <dcterms:created xsi:type="dcterms:W3CDTF">2022-12-05T15:44:00Z</dcterms:created>
  <dcterms:modified xsi:type="dcterms:W3CDTF">2022-12-05T16:28:00Z</dcterms:modified>
</cp:coreProperties>
</file>